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ROSPA0115ZPB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Defileul Crișului Repede - Valea Iadului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23969090"/>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95299350"/>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32879476"/>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172,66</w:t>
      </w:r>
      <w:r>
        <w:rPr>
          <w:rtl w:val="0"/>
        </w:rPr>
        <w:t xml:space="preserve"/>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Observație: O parte din suprafața sitului este declarată ca ZPB integrat cu situl ROSAC0062 Defileul Crișului Repede - Pădurea Craiului, respectiv cu situl ROSAC0262 Valea Iadului.</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1,01%</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449581901"/>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44438867"/>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03623646"/>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82005630"/>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45538662"/>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17118197"/>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54,22</w:t>
      </w:r>
      <w:r>
        <w:rPr>
          <w:sz w:val="22"/>
          <w:szCs w:val="22"/>
          <w:rtl w:val="0"/>
        </w:rPr>
        <w:t xml:space="preserve"/>
      </w:r>
      <w:r>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68/2024 privind aprobarea Planului de management al sitului Natura 2000 ROSPA0115 Defileul Crișului Repede – Valea Iadului.</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Ecosisteme de păduri temperate europene: făgete virgine / cvasivirgine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 A104 Bonasa bonasia</w:t>
              <w:br w:type="textWrapping"/>
              <w:t xml:space="preserve"> A087 Buteo buteo</w:t>
              <w:br w:type="textWrapping"/>
              <w:t xml:space="preserve"> A239 Dendrocopos leucotos</w:t>
              <w:br w:type="textWrapping"/>
              <w:t xml:space="preserve">  A236 Dryocopus martius</w:t>
              <w:br w:type="textWrapping"/>
              <w:t xml:space="preserve"> A217 Glaucidium passerinum</w:t>
              <w:br w:type="textWrapping"/>
              <w:t xml:space="preserve"> A072 Pernis apivorus</w:t>
              <w:br w:type="textWrapping"/>
              <w:t xml:space="preserve"> 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7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C">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E">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4">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8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118,39</w:t>
      </w:r>
      <w:r>
        <w:rPr>
          <w:sz w:val="22"/>
          <w:szCs w:val="22"/>
          <w:rtl w:val="0"/>
        </w:rPr>
        <w:t xml:space="preserve"/>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4">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68/2024 privind aprobarea Planului de management al sitului Natura 2000 ROSPA0115 Defileul Crișului Repede – Valea Iadului.</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9"/>
        <w:tblW w:w="8964.0" w:type="dxa"/>
        <w:jc w:val="left"/>
        <w:tblInd w:w="-97.00000000000001"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Ecosisteme de păduri temperate europene: făgete seculare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 A104 Bonasa bonasia</w:t>
              <w:br w:type="textWrapping"/>
              <w:t xml:space="preserve"> A087 Buteo buteo</w:t>
              <w:br w:type="textWrapping"/>
              <w:t xml:space="preserve"> A239 Dendrocopos leucotos</w:t>
              <w:br w:type="textWrapping"/>
              <w:t xml:space="preserve">  A236 Dryocopus martius</w:t>
              <w:br w:type="textWrapping"/>
              <w:t xml:space="preserve"> A217 Glaucidium passerinum</w:t>
              <w:br w:type="textWrapping"/>
              <w:t xml:space="preserve"> A072 Pernis apivorus</w:t>
              <w:br w:type="textWrapping"/>
              <w:t xml:space="preserve"> 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A1">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A2">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A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A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A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A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B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6">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7">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8">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9">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A">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B">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C">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D">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E">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F">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0">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1">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MUNTEANU, D., PAPADOPOL, A., WEBER, P. 1994 ”Atlasul provizoriu al păsărilor clocitoare din România”. Publicațiile Societății Ornitologice Române, vol 2. București</w:t>
      </w:r>
    </w:p>
    <w:p w:rsidR="00000000" w:rsidDel="00000000" w:rsidP="00000000" w:rsidRDefault="00000000" w:rsidRPr="00000000" w14:paraId="000000C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Munteanu, D. (2009).  Păsări rare, vulnerabile şi periclitate în România. Cluj-Napoca, Ed Alma Mater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jud. Bihor. Ulterior, în cadrul procesului de consultare extins la nivel național, a avut loc o consultare suplimentară online în data de 29 ianuarie 2026 și consultare publică la Prefectura Bihor, cu participarea factorilor interesați relevanți din județul Bihor.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sectPr>
      <w:pgSz w:h="16787" w:w="11870" w:orient="portrait"/>
      <w:pgMar w:bottom="1440" w:top="81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6wU+Xb4QS/LooM6OTpasfqyO9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RKN2x0T1NHTzRmNzhPSU04TkpCVzUxZDR3VnRCUj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